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261"/>
        </w:tabs>
        <w:jc w:val="center"/>
        <w:rPr>
          <w:rFonts w:ascii="Arial" w:hAnsi="Arial" w:eastAsia="方正黑体简体" w:cs="Arial"/>
          <w:b/>
          <w:color w:val="0D0D0D"/>
          <w:sz w:val="40"/>
          <w:szCs w:val="20"/>
        </w:rPr>
      </w:pPr>
      <w:r>
        <w:rPr>
          <w:rFonts w:hint="eastAsia" w:ascii="Arial" w:hAnsi="Arial" w:eastAsia="方正黑体简体" w:cs="Arial"/>
          <w:b/>
          <w:color w:val="0D0D0D"/>
          <w:sz w:val="40"/>
          <w:szCs w:val="20"/>
        </w:rPr>
        <w:t>TH</w:t>
      </w:r>
      <w:r>
        <w:rPr>
          <w:rFonts w:ascii="Arial" w:hAnsi="Arial" w:eastAsia="方正黑体简体" w:cs="Arial"/>
          <w:b/>
          <w:color w:val="0D0D0D"/>
          <w:sz w:val="40"/>
          <w:szCs w:val="20"/>
        </w:rPr>
        <w:t>050</w:t>
      </w:r>
      <w:r>
        <w:rPr>
          <w:rFonts w:hint="eastAsia" w:ascii="Arial" w:hAnsi="Arial" w:eastAsia="方正黑体简体" w:cs="Arial"/>
          <w:b/>
          <w:color w:val="0D0D0D"/>
          <w:sz w:val="40"/>
          <w:szCs w:val="20"/>
        </w:rPr>
        <w:t>0</w:t>
      </w:r>
      <w:r>
        <w:rPr>
          <w:rFonts w:hint="eastAsia" w:ascii="黑体" w:hAnsi="黑体" w:eastAsia="黑体" w:cs="Arial"/>
          <w:b/>
          <w:color w:val="0D0D0D"/>
          <w:sz w:val="40"/>
          <w:szCs w:val="20"/>
        </w:rPr>
        <w:t>精密电流转换标准</w:t>
      </w:r>
    </w:p>
    <w:p>
      <w:pPr>
        <w:spacing w:line="0" w:lineRule="atLeast"/>
        <w:jc w:val="center"/>
        <w:rPr>
          <w:rFonts w:ascii="黑体" w:hAnsi="黑体" w:eastAsia="黑体" w:cs="Arial"/>
          <w:b/>
          <w:sz w:val="40"/>
          <w:szCs w:val="24"/>
        </w:rPr>
      </w:pPr>
      <w:r>
        <w:drawing>
          <wp:inline distT="0" distB="0" distL="0" distR="0">
            <wp:extent cx="4724400" cy="17506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618" cy="176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spacing w:line="360" w:lineRule="auto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1. 产品概述</w:t>
      </w:r>
    </w:p>
    <w:p>
      <w:pPr>
        <w:spacing w:line="360" w:lineRule="auto"/>
        <w:ind w:firstLine="539" w:firstLineChars="244"/>
        <w:rPr>
          <w:rFonts w:ascii="Arial" w:hAnsi="Arial" w:eastAsia="楷体" w:cs="Arial"/>
          <w:color w:val="0D0D0D"/>
          <w:sz w:val="22"/>
        </w:rPr>
      </w:pPr>
      <w:r>
        <w:rPr>
          <w:rFonts w:ascii="Arial" w:hAnsi="Arial" w:eastAsia="楷体" w:cs="Arial"/>
          <w:b/>
          <w:color w:val="0D0D0D"/>
          <w:sz w:val="22"/>
        </w:rPr>
        <w:t>TH0500</w:t>
      </w:r>
      <w:r>
        <w:rPr>
          <w:rFonts w:ascii="Arial" w:hAnsi="Arial" w:eastAsia="楷体" w:cs="Arial"/>
          <w:color w:val="0D0D0D"/>
          <w:sz w:val="22"/>
        </w:rPr>
        <w:t>是一系列精密</w:t>
      </w:r>
      <w:r>
        <w:rPr>
          <w:rFonts w:hint="eastAsia" w:ascii="Arial" w:hAnsi="Arial" w:eastAsia="楷体" w:cs="Arial"/>
          <w:color w:val="0D0D0D"/>
          <w:sz w:val="22"/>
        </w:rPr>
        <w:t>电流转换标准</w:t>
      </w:r>
      <w:r>
        <w:rPr>
          <w:rFonts w:ascii="Arial" w:hAnsi="Arial" w:eastAsia="楷体" w:cs="Arial"/>
          <w:color w:val="0D0D0D"/>
          <w:sz w:val="22"/>
        </w:rPr>
        <w:t>，</w:t>
      </w:r>
      <w:r>
        <w:rPr>
          <w:rFonts w:hint="eastAsia" w:ascii="Arial" w:hAnsi="Arial" w:eastAsia="楷体" w:cs="Arial"/>
          <w:color w:val="0D0D0D"/>
          <w:sz w:val="22"/>
        </w:rPr>
        <w:t>采用精密直流电流比较仪技术，可将标称为0</w:t>
      </w:r>
      <w:r>
        <w:rPr>
          <w:rFonts w:ascii="Arial" w:hAnsi="Arial" w:eastAsia="楷体" w:cs="Arial"/>
          <w:color w:val="0D0D0D"/>
          <w:sz w:val="22"/>
        </w:rPr>
        <w:t>.1 A…</w:t>
      </w:r>
      <w:r>
        <w:rPr>
          <w:rFonts w:hint="eastAsia" w:ascii="Arial" w:hAnsi="Arial" w:eastAsia="楷体" w:cs="Arial"/>
          <w:color w:val="0D0D0D"/>
          <w:sz w:val="22"/>
          <w:lang w:val="en-US" w:eastAsia="zh-CN"/>
        </w:rPr>
        <w:t>1</w:t>
      </w:r>
      <w:r>
        <w:rPr>
          <w:rFonts w:ascii="Arial" w:hAnsi="Arial" w:eastAsia="楷体" w:cs="Arial"/>
          <w:color w:val="0D0D0D"/>
          <w:sz w:val="22"/>
        </w:rPr>
        <w:t xml:space="preserve">0 </w:t>
      </w:r>
      <w:r>
        <w:rPr>
          <w:rFonts w:hint="eastAsia" w:ascii="Arial" w:hAnsi="Arial" w:eastAsia="楷体" w:cs="Arial"/>
          <w:color w:val="0D0D0D"/>
          <w:sz w:val="22"/>
        </w:rPr>
        <w:t>k</w:t>
      </w:r>
      <w:r>
        <w:rPr>
          <w:rFonts w:ascii="Arial" w:hAnsi="Arial" w:eastAsia="楷体" w:cs="Arial"/>
          <w:color w:val="0D0D0D"/>
          <w:sz w:val="22"/>
        </w:rPr>
        <w:t>A</w:t>
      </w:r>
      <w:r>
        <w:rPr>
          <w:rFonts w:hint="eastAsia" w:ascii="Arial" w:hAnsi="Arial" w:eastAsia="楷体" w:cs="Arial"/>
          <w:color w:val="0D0D0D"/>
          <w:sz w:val="22"/>
        </w:rPr>
        <w:t>的直流/交流电流按一定比例转换成电压或电流小信号输出，并保持较高的比例不确定度。二次输出量配接相应的测量仪器，可实现丰富的测量应用。</w:t>
      </w:r>
    </w:p>
    <w:p>
      <w:pPr>
        <w:spacing w:line="276" w:lineRule="auto"/>
        <w:ind w:firstLine="525" w:firstLineChars="239"/>
        <w:rPr>
          <w:rFonts w:ascii="Arial" w:hAnsi="楷体" w:eastAsia="楷体" w:cs="Arial"/>
          <w:color w:val="000000" w:themeColor="text1"/>
          <w:sz w:val="22"/>
          <w:highlight w:val="yellow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360" w:lineRule="auto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产品特征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一次电流输入可选直入或穿心连接二种方式</w:t>
      </w:r>
    </w:p>
    <w:p>
      <w:pPr>
        <w:spacing w:line="360" w:lineRule="auto"/>
        <w:ind w:left="284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直入式标称输入电流：</w:t>
      </w:r>
      <w:r>
        <w:rPr>
          <w:rFonts w:hint="eastAsia" w:ascii="Arial" w:hAnsi="Arial" w:eastAsia="楷体" w:cs="Arial"/>
          <w:color w:val="0D0D0D"/>
          <w:sz w:val="22"/>
        </w:rPr>
        <w:t>0</w:t>
      </w:r>
      <w:r>
        <w:rPr>
          <w:rFonts w:ascii="Arial" w:hAnsi="Arial" w:eastAsia="楷体" w:cs="Arial"/>
          <w:color w:val="0D0D0D"/>
          <w:sz w:val="22"/>
        </w:rPr>
        <w:t>.1 A…200 A</w:t>
      </w:r>
    </w:p>
    <w:p>
      <w:pPr>
        <w:spacing w:line="360" w:lineRule="auto"/>
        <w:ind w:left="284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穿心式标称输入电流：</w:t>
      </w:r>
      <w:r>
        <w:rPr>
          <w:rFonts w:ascii="Arial" w:hAnsi="Arial" w:eastAsia="楷体" w:cs="Arial"/>
          <w:color w:val="0D0D0D"/>
          <w:sz w:val="22"/>
        </w:rPr>
        <w:t>500 A…</w:t>
      </w:r>
      <w:r>
        <w:rPr>
          <w:rFonts w:hint="eastAsia" w:ascii="Arial" w:hAnsi="Arial" w:eastAsia="楷体" w:cs="Arial"/>
          <w:color w:val="0D0D0D"/>
          <w:sz w:val="22"/>
          <w:lang w:val="en-US" w:eastAsia="zh-CN"/>
        </w:rPr>
        <w:t>10</w:t>
      </w:r>
      <w:r>
        <w:rPr>
          <w:rFonts w:ascii="Arial" w:hAnsi="Arial" w:eastAsia="楷体" w:cs="Arial"/>
          <w:color w:val="0D0D0D"/>
          <w:sz w:val="22"/>
        </w:rPr>
        <w:t xml:space="preserve"> kA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二次输出信号</w:t>
      </w:r>
      <w:r>
        <w:rPr>
          <w:rFonts w:hint="eastAsia" w:ascii="Arial" w:hAnsi="楷体" w:eastAsia="楷体" w:cs="Arial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电压</w:t>
      </w:r>
    </w:p>
    <w:p>
      <w:pPr>
        <w:spacing w:line="360" w:lineRule="auto"/>
        <w:ind w:left="284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I</w:t>
      </w:r>
      <w:r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V型：最佳比例不确定度达</w:t>
      </w:r>
      <w:r>
        <w:rPr>
          <w:rFonts w:hint="eastAsia" w:ascii="Arial" w:hAnsi="楷体" w:eastAsia="楷体" w:cs="Arial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0 ppm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测量频率：DC ~ 5 kHz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可选数显功能，支持数字信号输出</w:t>
      </w:r>
    </w:p>
    <w:p>
      <w:pPr>
        <w:spacing w:line="276" w:lineRule="auto"/>
        <w:jc w:val="left"/>
        <w:rPr>
          <w:rFonts w:ascii="Arial" w:hAnsi="楷体" w:eastAsia="楷体" w:cs="Arial"/>
          <w:color w:val="000000" w:themeColor="text1"/>
          <w:sz w:val="22"/>
          <w:highlight w:val="yellow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360" w:lineRule="auto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主要应用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组建直流/交流电流精密测量系统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校准直流/交流电流源或电流表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校准直流电流比例标准（电流比较仪）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校准直流电流互感器 /</w:t>
      </w:r>
      <w:r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传感器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校准直流I</w:t>
      </w:r>
      <w:r>
        <w:rPr>
          <w:rFonts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Arial" w:hAnsi="楷体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V转换标准</w:t>
      </w:r>
    </w:p>
    <w:tbl>
      <w:tblPr>
        <w:tblStyle w:val="12"/>
        <w:tblW w:w="4988" w:type="pct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single" w:color="auto" w:sz="18" w:space="0"/>
              <w:bottom w:val="single" w:color="auto" w:sz="4" w:space="0"/>
            </w:tcBorders>
            <w:shd w:val="clear" w:color="auto" w:fill="00A19C"/>
          </w:tcPr>
          <w:p>
            <w:pPr>
              <w:widowControl/>
              <w:spacing w:line="360" w:lineRule="auto"/>
              <w:jc w:val="left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☆ 灵活的电流接入与信号输出方式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000" w:type="pct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before="240" w:line="360" w:lineRule="auto"/>
              <w:jc w:val="center"/>
              <w:rPr>
                <w:rFonts w:ascii="Arial" w:hAnsi="楷体" w:eastAsia="楷体" w:cs="Arial"/>
                <w:sz w:val="22"/>
                <w:szCs w:val="24"/>
              </w:rPr>
            </w:pPr>
            <w:r>
              <w:drawing>
                <wp:inline distT="0" distB="0" distL="0" distR="0">
                  <wp:extent cx="5238750" cy="40576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288" cy="407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000" w:type="pct"/>
            <w:tcBorders>
              <w:top w:val="nil"/>
              <w:bottom w:val="nil"/>
            </w:tcBorders>
            <w:vAlign w:val="center"/>
          </w:tcPr>
          <w:p>
            <w:pPr>
              <w:spacing w:line="360" w:lineRule="auto"/>
              <w:ind w:left="578"/>
              <w:jc w:val="left"/>
              <w:rPr>
                <w:rFonts w:ascii="黑体" w:hAnsi="黑体" w:eastAsia="黑体" w:cs="Arial"/>
                <w:sz w:val="22"/>
                <w:szCs w:val="24"/>
              </w:rPr>
            </w:pPr>
            <w:r>
              <w:rPr>
                <w:rFonts w:hint="eastAsia" w:ascii="黑体" w:hAnsi="黑体" w:eastAsia="黑体" w:cs="Arial"/>
                <w:b/>
                <w:sz w:val="22"/>
                <w:szCs w:val="24"/>
              </w:rPr>
              <w:t>电流输入可选直接或穿心连接二种方式：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578"/>
              <w:jc w:val="left"/>
              <w:rPr>
                <w:rFonts w:ascii="Arial" w:hAnsi="楷体" w:eastAsia="楷体" w:cs="Arial"/>
                <w:sz w:val="22"/>
                <w:szCs w:val="24"/>
              </w:rPr>
            </w:pPr>
            <w:r>
              <w:rPr>
                <w:rFonts w:hint="eastAsia" w:ascii="Arial" w:hAnsi="楷体" w:eastAsia="楷体" w:cs="Arial"/>
                <w:b/>
                <w:sz w:val="22"/>
                <w:szCs w:val="24"/>
              </w:rPr>
              <w:t>直接连接：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采用常规的电流接线端子，适用于标称输入为0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.1 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A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 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.</w:t>
            </w:r>
            <w:r>
              <w:rPr>
                <w:rFonts w:ascii="Arial" w:hAnsi="楷体" w:eastAsia="楷体" w:cs="Arial"/>
                <w:sz w:val="22"/>
                <w:szCs w:val="24"/>
              </w:rPr>
              <w:t>.. 200 A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的较小电流测量。</w:t>
            </w:r>
          </w:p>
          <w:p>
            <w:pPr>
              <w:numPr>
                <w:ilvl w:val="0"/>
                <w:numId w:val="2"/>
              </w:numPr>
              <w:spacing w:after="240" w:line="360" w:lineRule="auto"/>
              <w:ind w:left="578"/>
              <w:jc w:val="left"/>
              <w:rPr>
                <w:rFonts w:ascii="Arial" w:hAnsi="楷体" w:eastAsia="楷体" w:cs="Arial"/>
                <w:sz w:val="22"/>
                <w:szCs w:val="24"/>
              </w:rPr>
            </w:pPr>
            <w:r>
              <w:rPr>
                <w:rFonts w:hint="eastAsia" w:ascii="Arial" w:hAnsi="楷体" w:eastAsia="楷体" w:cs="Arial"/>
                <w:b/>
                <w:sz w:val="22"/>
                <w:szCs w:val="24"/>
              </w:rPr>
              <w:t>穿心连接：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孔径方便大电流导线穿入，适用于标称输入为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500 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A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 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.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.. </w:t>
            </w:r>
            <w:r>
              <w:rPr>
                <w:rFonts w:hint="eastAsia" w:ascii="Arial" w:hAnsi="楷体" w:eastAsia="楷体" w:cs="Arial"/>
                <w:sz w:val="22"/>
                <w:szCs w:val="24"/>
                <w:lang w:val="en-US" w:eastAsia="zh-CN"/>
              </w:rPr>
              <w:t>1</w:t>
            </w:r>
            <w:r>
              <w:rPr>
                <w:rFonts w:ascii="Arial" w:hAnsi="楷体" w:eastAsia="楷体" w:cs="Arial"/>
                <w:sz w:val="22"/>
                <w:szCs w:val="24"/>
              </w:rPr>
              <w:t>0 kA</w:t>
            </w:r>
            <w:r>
              <w:rPr>
                <w:rFonts w:hint="eastAsia" w:ascii="Arial" w:hAnsi="楷体" w:eastAsia="楷体" w:cs="Arial"/>
                <w:sz w:val="22"/>
                <w:szCs w:val="24"/>
              </w:rPr>
              <w:t>的大电流测量。</w:t>
            </w:r>
            <w:r>
              <w:rPr>
                <w:rFonts w:ascii="Arial" w:hAnsi="楷体" w:eastAsia="楷体" w:cs="Arial"/>
                <w:sz w:val="22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5000" w:type="pct"/>
            <w:tcBorders>
              <w:top w:val="nil"/>
              <w:bottom w:val="single" w:color="auto" w:sz="18" w:space="0"/>
            </w:tcBorders>
            <w:vAlign w:val="center"/>
          </w:tcPr>
          <w:p>
            <w:pPr>
              <w:spacing w:line="360" w:lineRule="auto"/>
              <w:ind w:left="578"/>
              <w:jc w:val="left"/>
              <w:rPr>
                <w:rFonts w:ascii="黑体" w:hAnsi="黑体" w:eastAsia="黑体" w:cs="Arial"/>
                <w:b/>
                <w:sz w:val="22"/>
                <w:szCs w:val="24"/>
              </w:rPr>
            </w:pPr>
            <w:r>
              <w:rPr>
                <w:rFonts w:hint="eastAsia" w:ascii="黑体" w:hAnsi="黑体" w:eastAsia="黑体" w:cs="Arial"/>
                <w:b/>
                <w:sz w:val="22"/>
                <w:szCs w:val="24"/>
              </w:rPr>
              <w:t>二次输出信号可选电压型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578"/>
              <w:jc w:val="left"/>
              <w:rPr>
                <w:rFonts w:ascii="黑体" w:hAnsi="黑体" w:eastAsia="黑体" w:cs="Arial"/>
                <w:b/>
                <w:sz w:val="22"/>
                <w:szCs w:val="24"/>
              </w:rPr>
            </w:pPr>
            <w:r>
              <w:rPr>
                <w:rFonts w:ascii="Arial" w:hAnsi="Arial" w:eastAsia="楷体" w:cs="Arial"/>
                <w:b/>
                <w:sz w:val="22"/>
                <w:szCs w:val="24"/>
              </w:rPr>
              <w:t>电压输出</w:t>
            </w:r>
            <w:r>
              <w:rPr>
                <w:rFonts w:hint="eastAsia" w:ascii="Arial" w:hAnsi="Arial" w:eastAsia="楷体" w:cs="Arial"/>
                <w:b/>
                <w:sz w:val="22"/>
                <w:szCs w:val="24"/>
              </w:rPr>
              <w:t xml:space="preserve"> (</w:t>
            </w:r>
            <w:r>
              <w:rPr>
                <w:rFonts w:ascii="Arial" w:hAnsi="Arial" w:eastAsia="楷体" w:cs="Arial"/>
                <w:b/>
                <w:sz w:val="22"/>
                <w:szCs w:val="24"/>
              </w:rPr>
              <w:t xml:space="preserve"> I/V</w:t>
            </w:r>
            <w:r>
              <w:rPr>
                <w:rFonts w:hint="eastAsia" w:ascii="Arial" w:hAnsi="Arial" w:eastAsia="楷体" w:cs="Arial"/>
                <w:b/>
                <w:sz w:val="22"/>
                <w:szCs w:val="24"/>
              </w:rPr>
              <w:t xml:space="preserve">型 </w:t>
            </w:r>
            <w:r>
              <w:rPr>
                <w:rFonts w:ascii="Arial" w:hAnsi="Arial" w:eastAsia="楷体" w:cs="Arial"/>
                <w:b/>
                <w:sz w:val="22"/>
                <w:szCs w:val="24"/>
              </w:rPr>
              <w:t>)：</w:t>
            </w:r>
            <w:r>
              <w:rPr>
                <w:rFonts w:ascii="Arial" w:hAnsi="Arial" w:eastAsia="楷体" w:cs="Arial"/>
                <w:sz w:val="22"/>
                <w:szCs w:val="24"/>
              </w:rPr>
              <w:t>标称输出1 V，方便接入精密电压表，实现电流的转换测量。</w:t>
            </w:r>
          </w:p>
          <w:p>
            <w:pPr>
              <w:numPr>
                <w:numId w:val="0"/>
              </w:numPr>
              <w:spacing w:after="240" w:line="360" w:lineRule="auto"/>
              <w:jc w:val="left"/>
              <w:rPr>
                <w:rFonts w:ascii="黑体" w:hAnsi="黑体" w:eastAsia="黑体" w:cs="Arial"/>
                <w:b/>
                <w:sz w:val="22"/>
                <w:szCs w:val="24"/>
              </w:rPr>
            </w:pPr>
          </w:p>
        </w:tc>
      </w:tr>
    </w:tbl>
    <w:p>
      <w:pPr>
        <w:spacing w:line="360" w:lineRule="auto"/>
        <w:rPr>
          <w:rFonts w:ascii="Arial" w:hAnsi="Arial" w:eastAsia="黑体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黑体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3.1 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V型TH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0500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的应用</w:t>
      </w:r>
    </w:p>
    <w:tbl>
      <w:tblPr>
        <w:tblStyle w:val="12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2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bottom w:val="single" w:color="auto" w:sz="4" w:space="0"/>
            </w:tcBorders>
            <w:shd w:val="clear" w:color="auto" w:fill="00A19C"/>
          </w:tcPr>
          <w:p>
            <w:pPr>
              <w:widowControl/>
              <w:spacing w:line="360" w:lineRule="auto"/>
              <w:jc w:val="left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☆ </w:t>
            </w:r>
            <w:r>
              <w:rPr>
                <w:rFonts w:hint="eastAsia" w:ascii="黑体" w:hAnsi="黑体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组建精密电流测试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系统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3" w:hRule="atLeast"/>
        </w:trPr>
        <w:tc>
          <w:tcPr>
            <w:tcW w:w="9592" w:type="dxa"/>
            <w:tcBorders>
              <w:top w:val="single" w:color="auto" w:sz="4" w:space="0"/>
              <w:bottom w:val="single" w:color="FFFFFF" w:themeColor="background1" w:sz="4" w:space="0"/>
            </w:tcBorders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5716905" cy="199009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104" cy="199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top w:val="single" w:color="FFFFFF" w:themeColor="background1" w:sz="4" w:space="0"/>
              <w:bottom w:val="single" w:color="000000" w:sz="12" w:space="0"/>
            </w:tcBorders>
          </w:tcPr>
          <w:p>
            <w:pPr>
              <w:numPr>
                <w:ilvl w:val="0"/>
                <w:numId w:val="1"/>
              </w:numPr>
              <w:spacing w:line="360" w:lineRule="auto"/>
              <w:ind w:left="168" w:leftChars="8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用户可将TH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0500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、精密电压表、高稳电流源，组建精密电流测量系统。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168" w:leftChars="8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实现大电流的精密测量，或为试验器件、负载提供准确、稳定的直流/交流电流信号。</w:t>
            </w:r>
          </w:p>
        </w:tc>
      </w:tr>
    </w:tbl>
    <w:p>
      <w:pPr>
        <w:widowControl/>
        <w:spacing w:line="0" w:lineRule="atLeast"/>
        <w:jc w:val="left"/>
        <w:rPr>
          <w:rFonts w:ascii="Arial" w:hAnsi="Arial" w:eastAsia="黑体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2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bottom w:val="single" w:color="auto" w:sz="4" w:space="0"/>
            </w:tcBorders>
            <w:shd w:val="clear" w:color="auto" w:fill="00A19C"/>
          </w:tcPr>
          <w:p>
            <w:pPr>
              <w:widowControl/>
              <w:spacing w:line="360" w:lineRule="auto"/>
              <w:jc w:val="left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☆ 校准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大电流源</w:t>
            </w:r>
            <w:r>
              <w:rPr>
                <w:rFonts w:hint="eastAsia"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/ 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8" w:hRule="atLeast"/>
        </w:trPr>
        <w:tc>
          <w:tcPr>
            <w:tcW w:w="9592" w:type="dxa"/>
            <w:tcBorders>
              <w:top w:val="single" w:color="000000" w:sz="12" w:space="0"/>
              <w:bottom w:val="single" w:color="FFFFFF" w:themeColor="background1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5732780" cy="3987165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334" cy="399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9592" w:type="dxa"/>
            <w:tcBorders>
              <w:top w:val="single" w:color="FFFFFF" w:themeColor="background1" w:sz="4" w:space="0"/>
              <w:bottom w:val="single" w:color="auto" w:sz="18" w:space="0"/>
            </w:tcBorders>
          </w:tcPr>
          <w:p>
            <w:pPr>
              <w:numPr>
                <w:ilvl w:val="0"/>
                <w:numId w:val="1"/>
              </w:numPr>
              <w:spacing w:after="240" w:line="360" w:lineRule="auto"/>
              <w:ind w:left="105" w:leftChars="5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V型转换标准的另一典型应用是搭配精密电压表，</w:t>
            </w:r>
            <w:r>
              <w:rPr>
                <w:rFonts w:hint="eastAsia"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  <w:t>用于校准交流大电流标准源/表。</w:t>
            </w:r>
          </w:p>
        </w:tc>
      </w:tr>
    </w:tbl>
    <w:p>
      <w:pPr>
        <w:widowControl/>
        <w:spacing w:line="0" w:lineRule="atLeast"/>
        <w:jc w:val="left"/>
        <w:rPr>
          <w:rFonts w:ascii="Arial" w:hAnsi="Arial" w:eastAsia="黑体" w:cs="Arial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黑体" w:cs="Arial"/>
          <w:b/>
          <w:color w:val="000000" w:themeColor="text1"/>
          <w:sz w:val="15"/>
          <w:szCs w:val="24"/>
          <w14:textFill>
            <w14:solidFill>
              <w14:schemeClr w14:val="tx1"/>
            </w14:solidFill>
          </w14:textFill>
        </w:rPr>
        <w:br w:type="page"/>
      </w:r>
    </w:p>
    <w:tbl>
      <w:tblPr>
        <w:tblStyle w:val="12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2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bottom w:val="single" w:color="auto" w:sz="4" w:space="0"/>
            </w:tcBorders>
            <w:shd w:val="clear" w:color="auto" w:fill="00A19C"/>
          </w:tcPr>
          <w:p>
            <w:pPr>
              <w:widowControl/>
              <w:spacing w:line="360" w:lineRule="auto"/>
              <w:jc w:val="left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☆ 校准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I/V</w:t>
            </w: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转换标准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4" w:hRule="atLeast"/>
        </w:trPr>
        <w:tc>
          <w:tcPr>
            <w:tcW w:w="9592" w:type="dxa"/>
            <w:tcBorders>
              <w:top w:val="single" w:color="auto" w:sz="4" w:space="0"/>
              <w:bottom w:val="single" w:color="FFFFFF" w:themeColor="background1" w:sz="4" w:space="0"/>
            </w:tcBorders>
            <w:vAlign w:val="bottom"/>
          </w:tcPr>
          <w:p>
            <w:pPr>
              <w:widowControl/>
              <w:jc w:val="center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5635625" cy="6372225"/>
                  <wp:effectExtent l="0" t="0" r="317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284" cy="639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9592" w:type="dxa"/>
            <w:tcBorders>
              <w:top w:val="single" w:color="FFFFFF" w:themeColor="background1" w:sz="4" w:space="0"/>
              <w:bottom w:val="single" w:color="auto" w:sz="18" w:space="0"/>
            </w:tcBorders>
          </w:tcPr>
          <w:p>
            <w:pPr>
              <w:numPr>
                <w:ilvl w:val="0"/>
                <w:numId w:val="1"/>
              </w:numPr>
              <w:spacing w:line="360" w:lineRule="auto"/>
              <w:ind w:left="105" w:leftChars="50"/>
              <w:jc w:val="left"/>
              <w:rPr>
                <w:rFonts w:ascii="Arial" w:hAnsi="楷体" w:eastAsia="楷体" w:cs="Arial"/>
                <w:b/>
                <w:sz w:val="22"/>
                <w:szCs w:val="24"/>
              </w:rPr>
            </w:pP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使用I</w:t>
            </w:r>
            <w:r>
              <w:rPr>
                <w:rFonts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V型TH</w:t>
            </w:r>
            <w:r>
              <w:rPr>
                <w:rFonts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0500</w:t>
            </w: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可按以下二种方法校准直流分流器、电流传感器等I</w:t>
            </w:r>
            <w:r>
              <w:rPr>
                <w:rFonts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V转换设备。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105" w:leftChars="5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差值法校准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：选用的TH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0500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与被检I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V为同比例，使用微电压表如纳伏表进行校准。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105" w:leftChars="5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电压比法校准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：选用的TH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0500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与被检I</w:t>
            </w:r>
            <w:r>
              <w:rPr>
                <w:rFonts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Arial" w:hAnsi="楷体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V为非同比例，使用电压比率测量装置进行校准。</w:t>
            </w:r>
          </w:p>
        </w:tc>
      </w:tr>
    </w:tbl>
    <w:p>
      <w:pPr>
        <w:widowControl/>
        <w:spacing w:line="360" w:lineRule="auto"/>
        <w:jc w:val="left"/>
      </w:pPr>
      <w:r>
        <w:br w:type="page"/>
      </w:r>
    </w:p>
    <w:tbl>
      <w:tblPr>
        <w:tblStyle w:val="12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2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bottom w:val="single" w:color="auto" w:sz="4" w:space="0"/>
            </w:tcBorders>
            <w:shd w:val="clear" w:color="auto" w:fill="00A19C"/>
          </w:tcPr>
          <w:p>
            <w:pPr>
              <w:widowControl/>
              <w:spacing w:line="360" w:lineRule="auto"/>
              <w:jc w:val="left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☆ 组建</w:t>
            </w:r>
            <w:r>
              <w:rPr>
                <w:rFonts w:ascii="黑体" w:hAnsi="黑体" w:eastAsia="黑体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高压大电流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功率</w:t>
            </w:r>
            <w:r>
              <w:rPr>
                <w:rFonts w:hint="eastAsia"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ascii="Arial" w:hAnsi="Arial" w:eastAsia="黑体" w:cs="Arial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/ 电能精密测量系统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0" w:hRule="atLeast"/>
        </w:trPr>
        <w:tc>
          <w:tcPr>
            <w:tcW w:w="9592" w:type="dxa"/>
            <w:tcBorders>
              <w:top w:val="single" w:color="auto" w:sz="4" w:space="0"/>
              <w:bottom w:val="single" w:color="FFFFFF" w:themeColor="background1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黑体" w:cs="Arial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5709285" cy="6375400"/>
                  <wp:effectExtent l="0" t="0" r="5715" b="635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745" cy="638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2" w:type="dxa"/>
            <w:tcBorders>
              <w:top w:val="single" w:color="FFFFFF" w:themeColor="background1" w:sz="4" w:space="0"/>
              <w:bottom w:val="single" w:color="auto" w:sz="18" w:space="0"/>
            </w:tcBorders>
          </w:tcPr>
          <w:p>
            <w:pPr>
              <w:numPr>
                <w:ilvl w:val="0"/>
                <w:numId w:val="1"/>
              </w:numPr>
              <w:spacing w:line="360" w:lineRule="auto"/>
              <w:ind w:left="105" w:leftChars="5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TH0500可搭配高压V/V转换设备(典型如TH0170精密直流分压器)、标准功率/电能表(典型如TD1310交直流标准表 ) 组建高压大电流功率/电能精密测量系统。</w:t>
            </w:r>
          </w:p>
          <w:p>
            <w:pPr>
              <w:numPr>
                <w:ilvl w:val="0"/>
                <w:numId w:val="1"/>
              </w:numPr>
              <w:spacing w:after="240" w:line="360" w:lineRule="auto"/>
              <w:ind w:left="105" w:leftChars="50"/>
              <w:jc w:val="left"/>
              <w:rPr>
                <w:rFonts w:ascii="Arial" w:hAnsi="Arial" w:eastAsia="楷体" w:cs="Arial"/>
                <w:color w:val="000000" w:themeColor="text1"/>
                <w:sz w:val="2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用于测量大功率电源的输出功率、转换设备的效率、校准大电流功率源、功率表等</w:t>
            </w:r>
            <w:r>
              <w:rPr>
                <w:rFonts w:hint="eastAsia"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widowControl/>
        <w:spacing w:line="360" w:lineRule="auto"/>
        <w:jc w:val="left"/>
        <w:rPr>
          <w:rFonts w:ascii="Arial" w:hAnsi="Arial" w:eastAsia="黑体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黑体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spacing w:line="360" w:lineRule="auto"/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4. 技术规格</w:t>
      </w:r>
    </w:p>
    <w:p>
      <w:pPr>
        <w:pStyle w:val="3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Arial" w:hAnsi="Arial" w:cs="Ari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穿心式I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/V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转换标准</w:t>
      </w:r>
    </w:p>
    <w:tbl>
      <w:tblPr>
        <w:tblStyle w:val="11"/>
        <w:tblW w:w="0" w:type="auto"/>
        <w:tblInd w:w="-34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1679"/>
        <w:gridCol w:w="6"/>
        <w:gridCol w:w="1674"/>
        <w:gridCol w:w="11"/>
        <w:gridCol w:w="1685"/>
        <w:gridCol w:w="1691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769" w:type="dxa"/>
            <w:vMerge w:val="restart"/>
            <w:tcBorders>
              <w:top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规格型号</w:t>
            </w:r>
          </w:p>
        </w:tc>
        <w:tc>
          <w:tcPr>
            <w:tcW w:w="1679" w:type="dxa"/>
            <w:vMerge w:val="restart"/>
            <w:tcBorders>
              <w:top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标称输入</w:t>
            </w:r>
            <w:r>
              <w:rPr>
                <w:rFonts w:hint="eastAsia"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电流</w:t>
            </w:r>
          </w:p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Arial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(</w:t>
            </w:r>
            <w:r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 xml:space="preserve"> A </w:t>
            </w: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680" w:type="dxa"/>
            <w:gridSpan w:val="2"/>
            <w:vMerge w:val="restart"/>
            <w:tcBorders>
              <w:top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标称输</w:t>
            </w:r>
            <w:r>
              <w:rPr>
                <w:rFonts w:hint="eastAsia"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出电压</w:t>
            </w:r>
          </w:p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 xml:space="preserve"> (</w:t>
            </w:r>
            <w:r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V</w:t>
            </w:r>
            <w:r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3387" w:type="dxa"/>
            <w:gridSpan w:val="3"/>
            <w:tcBorders>
              <w:top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测量准确度</w:t>
            </w:r>
          </w:p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( ± 1×10</w:t>
            </w:r>
            <w:r>
              <w:rPr>
                <w:rFonts w:ascii="Arial" w:hAnsi="Arial" w:eastAsia="楷体" w:cs="Arial"/>
                <w:b/>
                <w:color w:val="FFFFFF" w:themeColor="background1"/>
                <w:szCs w:val="20"/>
                <w:vertAlign w:val="superscript"/>
                <w14:textFill>
                  <w14:solidFill>
                    <w14:schemeClr w14:val="bg1"/>
                  </w14:solidFill>
                </w14:textFill>
              </w:rPr>
              <w:t>-6</w:t>
            </w:r>
            <w:r>
              <w:rPr>
                <w:rFonts w:ascii="Arial" w:hAnsi="Arial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 xml:space="preserve">, </w:t>
            </w:r>
            <w:r>
              <w:rPr>
                <w:rFonts w:hint="eastAsia" w:ascii="Arial" w:hAnsi="Arial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对应满度值</w:t>
            </w:r>
            <w:r>
              <w:rPr>
                <w:rFonts w:ascii="Arial" w:hAnsi="Arial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769" w:type="dxa"/>
            <w:vMerge w:val="continue"/>
            <w:tcBorders>
              <w:bottom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679" w:type="dxa"/>
            <w:vMerge w:val="continue"/>
            <w:tcBorders>
              <w:bottom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680" w:type="dxa"/>
            <w:gridSpan w:val="2"/>
            <w:vMerge w:val="continue"/>
            <w:tcBorders>
              <w:bottom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bCs/>
                <w:iCs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696" w:type="dxa"/>
            <w:gridSpan w:val="2"/>
            <w:tcBorders>
              <w:bottom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DC</w:t>
            </w:r>
          </w:p>
        </w:tc>
        <w:tc>
          <w:tcPr>
            <w:tcW w:w="1691" w:type="dxa"/>
            <w:tcBorders>
              <w:bottom w:val="single" w:color="auto" w:sz="18" w:space="0"/>
            </w:tcBorders>
            <w:shd w:val="clear" w:color="auto" w:fill="00A19C"/>
            <w:vAlign w:val="center"/>
          </w:tcPr>
          <w:p>
            <w:pPr>
              <w:spacing w:line="276" w:lineRule="auto"/>
              <w:ind w:left="-105" w:leftChars="-50" w:right="-105" w:rightChars="-50"/>
              <w:jc w:val="center"/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AC@</w:t>
            </w:r>
            <w:r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5</w:t>
            </w:r>
            <w:r>
              <w:rPr>
                <w:rFonts w:hint="eastAsia" w:ascii="Arial" w:hAnsi="楷体" w:eastAsia="楷体" w:cs="Arial"/>
                <w:b/>
                <w:color w:val="FFFFFF" w:themeColor="background1"/>
                <w:szCs w:val="20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0</w:t>
            </w:r>
            <w:r>
              <w:rPr>
                <w:rFonts w:ascii="Arial" w:hAnsi="楷体" w:eastAsia="楷体" w:cs="Arial"/>
                <w:b/>
                <w:color w:val="FFFFFF" w:themeColor="background1"/>
                <w:szCs w:val="20"/>
                <w14:textFill>
                  <w14:solidFill>
                    <w14:schemeClr w14:val="bg1"/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auto" w:sz="18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ind w:left="63" w:leftChars="30"/>
              <w:jc w:val="left"/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TH0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U-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-500A-1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-20</w:t>
            </w:r>
          </w:p>
        </w:tc>
        <w:tc>
          <w:tcPr>
            <w:tcW w:w="1685" w:type="dxa"/>
            <w:gridSpan w:val="2"/>
            <w:tcBorders>
              <w:top w:val="single" w:color="auto" w:sz="18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1685" w:type="dxa"/>
            <w:gridSpan w:val="2"/>
            <w:tcBorders>
              <w:top w:val="single" w:color="auto" w:sz="18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5" w:type="dxa"/>
            <w:tcBorders>
              <w:top w:val="single" w:color="auto" w:sz="18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91" w:type="dxa"/>
            <w:tcBorders>
              <w:top w:val="single" w:color="auto" w:sz="18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ind w:left="63" w:leftChars="30"/>
              <w:jc w:val="left"/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TH0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U-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-1kA-1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-20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 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91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ind w:left="63" w:leftChars="30"/>
              <w:jc w:val="left"/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TH0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U-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-2kA-1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-20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91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ind w:left="63" w:leftChars="30"/>
              <w:jc w:val="left"/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TH0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U-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-5kA-1V-20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91" w:type="dxa"/>
            <w:tcBorders>
              <w:top w:val="single" w:color="auto" w:sz="4" w:space="0"/>
              <w:bottom w:val="single" w:color="auto" w:sz="4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auto" w:sz="4" w:space="0"/>
              <w:bottom w:val="single" w:color="auto" w:sz="18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ind w:left="63" w:leftChars="30"/>
              <w:jc w:val="left"/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TH0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U-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Arial" w:hAnsi="Arial" w:eastAsia="楷体" w:cs="Arial"/>
                <w:bCs/>
                <w:iCs/>
                <w:color w:val="000000" w:themeColor="text1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-10kA-1V-20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18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10 </w:t>
            </w:r>
            <w:r>
              <w:rPr>
                <w:rFonts w:hint="eastAsia"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bottom w:val="single" w:color="auto" w:sz="18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85" w:type="dxa"/>
            <w:tcBorders>
              <w:top w:val="single" w:color="auto" w:sz="4" w:space="0"/>
              <w:bottom w:val="single" w:color="auto" w:sz="18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楷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91" w:type="dxa"/>
            <w:tcBorders>
              <w:top w:val="single" w:color="auto" w:sz="4" w:space="0"/>
              <w:bottom w:val="single" w:color="auto" w:sz="18" w:space="0"/>
            </w:tcBorders>
            <w:shd w:val="clear" w:color="auto" w:fill="DAEEF3" w:themeFill="accent5" w:themeFillTint="33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Cs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楷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</w:tbl>
    <w:p>
      <w:pPr>
        <w:numPr>
          <w:ilvl w:val="0"/>
          <w:numId w:val="1"/>
        </w:numPr>
        <w:spacing w:line="360" w:lineRule="auto"/>
        <w:jc w:val="left"/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测量范围：±(0~</w:t>
      </w:r>
      <w:bookmarkStart w:id="0" w:name="_GoBack"/>
      <w:r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120%)*FS</w:t>
      </w:r>
      <w:bookmarkEnd w:id="0"/>
      <w:r>
        <w:rPr>
          <w:rFonts w:ascii="Arial" w:hAnsi="Arial" w:eastAsia="楷体" w:cs="Arial"/>
          <w:color w:val="000000" w:themeColor="text1"/>
          <w:sz w:val="22"/>
          <w14:textFill>
            <w14:solidFill>
              <w14:schemeClr w14:val="tx1"/>
            </w14:solidFill>
          </w14:textFill>
        </w:rPr>
        <w:t>；测量频率：DC ~ 5 kHz (3dB信号带宽≥100 kHz)</w:t>
      </w:r>
    </w:p>
    <w:p>
      <w:p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360" w:lineRule="auto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 一般技术规格</w:t>
      </w:r>
    </w:p>
    <w:tbl>
      <w:tblPr>
        <w:tblStyle w:val="11"/>
        <w:tblW w:w="5000" w:type="pct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984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949" w:type="pct"/>
            <w:shd w:val="clear" w:color="auto" w:fill="00A19C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供电电源</w:t>
            </w:r>
          </w:p>
        </w:tc>
        <w:tc>
          <w:tcPr>
            <w:tcW w:w="4051" w:type="pc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供电电源：AC ( 220±22 ) V，(50±2)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949" w:type="pct"/>
            <w:shd w:val="clear" w:color="auto" w:fill="00A19C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预热时间</w:t>
            </w:r>
          </w:p>
        </w:tc>
        <w:tc>
          <w:tcPr>
            <w:tcW w:w="4051" w:type="pc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30分钟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949" w:type="pct"/>
            <w:shd w:val="clear" w:color="auto" w:fill="00A19C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温度性能</w:t>
            </w:r>
          </w:p>
        </w:tc>
        <w:tc>
          <w:tcPr>
            <w:tcW w:w="4051" w:type="pc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工作温度：0°C~45°C</w:t>
            </w:r>
            <w:r>
              <w:rPr>
                <w:rFonts w:hint="eastAsia" w:ascii="Arial" w:hAnsi="Arial" w:eastAsia="楷体" w:cs="Arial"/>
                <w:sz w:val="22"/>
              </w:rPr>
              <w:t>；</w:t>
            </w:r>
            <w:r>
              <w:rPr>
                <w:rFonts w:ascii="Arial" w:hAnsi="Arial" w:eastAsia="楷体" w:cs="Arial"/>
                <w:sz w:val="22"/>
              </w:rPr>
              <w:t>储存温度：-10°C~55°C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949" w:type="pct"/>
            <w:shd w:val="clear" w:color="auto" w:fill="00A19C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湿度性能</w:t>
            </w:r>
          </w:p>
        </w:tc>
        <w:tc>
          <w:tcPr>
            <w:tcW w:w="4051" w:type="pc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工作湿度：&lt; 80% @ 30°C，&lt; 70% @ 40°C，&lt; 40% @ 50°C</w:t>
            </w:r>
          </w:p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储存湿度：</w:t>
            </w:r>
            <w:r>
              <w:rPr>
                <w:rFonts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(20%</w:t>
            </w:r>
            <w:r>
              <w:rPr>
                <w:rFonts w:hint="eastAsia"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~</w:t>
            </w:r>
            <w:r>
              <w:rPr>
                <w:rFonts w:ascii="Arial" w:hAnsi="Arial" w:eastAsia="楷体" w:cs="Arial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80%) R·H</w:t>
            </w:r>
            <w:r>
              <w:rPr>
                <w:rFonts w:ascii="Arial" w:hAnsi="Arial" w:eastAsia="楷体" w:cs="Arial"/>
                <w:sz w:val="22"/>
              </w:rPr>
              <w:t>，不结露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949" w:type="pct"/>
            <w:shd w:val="clear" w:color="auto" w:fill="00A19C"/>
            <w:vAlign w:val="center"/>
          </w:tcPr>
          <w:p>
            <w:pPr>
              <w:spacing w:line="360" w:lineRule="auto"/>
              <w:jc w:val="center"/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楷体" w:cs="Arial"/>
                <w:b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海拔高度</w:t>
            </w:r>
          </w:p>
        </w:tc>
        <w:tc>
          <w:tcPr>
            <w:tcW w:w="4051" w:type="pc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ind w:left="210" w:leftChars="100"/>
              <w:jc w:val="left"/>
              <w:rPr>
                <w:rFonts w:ascii="Arial" w:hAnsi="Arial" w:eastAsia="楷体" w:cs="Arial"/>
                <w:sz w:val="22"/>
              </w:rPr>
            </w:pPr>
            <w:r>
              <w:rPr>
                <w:rFonts w:ascii="Arial" w:hAnsi="Arial" w:eastAsia="楷体" w:cs="Arial"/>
                <w:sz w:val="22"/>
              </w:rPr>
              <w:t>&lt; 3000 m</w:t>
            </w:r>
          </w:p>
        </w:tc>
      </w:tr>
    </w:tbl>
    <w:p>
      <w:pPr>
        <w:rPr>
          <w:rFonts w:hint="eastAsia" w:ascii="Arial" w:hAnsi="Arial" w:eastAsia="思源黑体 CN Normal" w:cs="Arial"/>
          <w:sz w:val="22"/>
          <w:szCs w:val="28"/>
          <w:lang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304" w:right="1134" w:bottom="1134" w:left="1134" w:header="567" w:footer="68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黑体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黑体 CN Normal">
    <w:panose1 w:val="020B0400000000000000"/>
    <w:charset w:val="86"/>
    <w:family w:val="swiss"/>
    <w:pitch w:val="default"/>
    <w:sig w:usb0="20000003" w:usb1="2ADF3C10" w:usb2="00000016" w:usb3="00000000" w:csb0="600601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color w:val="FF0000"/>
      </w:rPr>
    </w:pPr>
    <w: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-201930</wp:posOffset>
          </wp:positionH>
          <wp:positionV relativeFrom="paragraph">
            <wp:posOffset>-40005</wp:posOffset>
          </wp:positionV>
          <wp:extent cx="1371600" cy="198755"/>
          <wp:effectExtent l="0" t="0" r="0" b="0"/>
          <wp:wrapThrough wrapText="bothSides">
            <wp:wrapPolygon>
              <wp:start x="900" y="0"/>
              <wp:lineTo x="900" y="14492"/>
              <wp:lineTo x="2400" y="16562"/>
              <wp:lineTo x="13500" y="18633"/>
              <wp:lineTo x="15000" y="18633"/>
              <wp:lineTo x="19800" y="16562"/>
              <wp:lineTo x="20700" y="14492"/>
              <wp:lineTo x="19800" y="0"/>
              <wp:lineTo x="900" y="0"/>
            </wp:wrapPolygon>
          </wp:wrapThrough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29" b="23088"/>
                  <a:stretch>
                    <a:fillRect/>
                  </a:stretch>
                </pic:blipFill>
                <pic:spPr>
                  <a:xfrm>
                    <a:off x="0" y="0"/>
                    <a:ext cx="1371600" cy="1987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4631055</wp:posOffset>
          </wp:positionH>
          <wp:positionV relativeFrom="paragraph">
            <wp:posOffset>39370</wp:posOffset>
          </wp:positionV>
          <wp:extent cx="1414780" cy="165735"/>
          <wp:effectExtent l="0" t="0" r="0" b="6350"/>
          <wp:wrapThrough wrapText="bothSides">
            <wp:wrapPolygon>
              <wp:start x="11052" y="0"/>
              <wp:lineTo x="2036" y="2492"/>
              <wp:lineTo x="873" y="4985"/>
              <wp:lineTo x="1163" y="19938"/>
              <wp:lineTo x="20359" y="19938"/>
              <wp:lineTo x="20941" y="4985"/>
              <wp:lineTo x="19487" y="2492"/>
              <wp:lineTo x="13670" y="0"/>
              <wp:lineTo x="11052" y="0"/>
            </wp:wrapPolygon>
          </wp:wrapThrough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643" b="28654"/>
                  <a:stretch>
                    <a:fillRect/>
                  </a:stretch>
                </pic:blipFill>
                <pic:spPr>
                  <a:xfrm>
                    <a:off x="0" y="0"/>
                    <a:ext cx="1414800" cy="1656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6270625</wp:posOffset>
              </wp:positionH>
              <wp:positionV relativeFrom="paragraph">
                <wp:posOffset>-19685</wp:posOffset>
              </wp:positionV>
              <wp:extent cx="425450" cy="274955"/>
              <wp:effectExtent l="0" t="0" r="0" b="0"/>
              <wp:wrapNone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02" cy="274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:lang w:val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93.75pt;margin-top:-1.55pt;height:21.65pt;width:33.5pt;z-index:251665408;mso-width-relative:page;mso-height-relative:page;" filled="f" stroked="f" coordsize="21600,21600" o:gfxdata="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z&#10;DJ/M1wAAAAoBAAAPAAAAAAAAAAEAIAAAACIAAABkcnMvZG93bnJldi54bWxQSwECFAAUAAAACACH&#10;TuJAeVy2KyUCAAAqBAAADgAAAAAAAAABACAAAAAmAQAAZHJzL2Uyb0RvYy54bWxQSwUGAAAAAAYA&#10;BgBZAQAAvQUAAAAA&#10;">
              <v:fill on="f" focussize="0,0"/>
              <v:stroke on="f" miterlimit="8" joinstyle="miter"/>
              <v:imagedata o:title=""/>
              <o:lock v:ext="edit" aspectratio="f"/>
              <v:textbox style="mso-fit-shape-to-text:t;">
                <w:txbxContent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PAGE   \* MERGEFORMAT</w:instrTex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:lang w:val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6093460</wp:posOffset>
              </wp:positionH>
              <wp:positionV relativeFrom="paragraph">
                <wp:posOffset>-10795</wp:posOffset>
              </wp:positionV>
              <wp:extent cx="733425" cy="269240"/>
              <wp:effectExtent l="0" t="0" r="9525" b="0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25" cy="269240"/>
                      </a:xfrm>
                      <a:prstGeom prst="rect">
                        <a:avLst/>
                      </a:prstGeom>
                      <a:solidFill>
                        <a:srgbClr val="00A1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79.8pt;margin-top:-0.85pt;height:21.2pt;width:57.75pt;z-index:251660288;v-text-anchor:middle;mso-width-relative:page;mso-height-relative:page;" fillcolor="#00A19C" filled="t" stroked="f" coordsize="21600,21600" o:gfxdata="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OkOONsAAAAKAQAADwAAAAAAAAABACAAAAAiAAAAZHJzL2Rvd25yZXYueG1sUEsBAhQAFAAA&#10;AAgAh07iQFCxBuReAgAAswQAAA4AAAAAAAAAAQAgAAAAKgEAAGRycy9lMm9Eb2MueG1sUEsFBgAA&#10;AAAGAAYAWQEAAPoF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-172085</wp:posOffset>
          </wp:positionH>
          <wp:positionV relativeFrom="margin">
            <wp:posOffset>9451340</wp:posOffset>
          </wp:positionV>
          <wp:extent cx="1547495" cy="208280"/>
          <wp:effectExtent l="0" t="0" r="0" b="0"/>
          <wp:wrapSquare wrapText="bothSides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208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-103505</wp:posOffset>
              </wp:positionH>
              <wp:positionV relativeFrom="paragraph">
                <wp:posOffset>154940</wp:posOffset>
              </wp:positionV>
              <wp:extent cx="1224280" cy="0"/>
              <wp:effectExtent l="0" t="0" r="33655" b="1905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24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8.15pt;margin-top:12.2pt;height:0pt;width:96.4pt;mso-position-horizontal-relative:margin;z-index:251666432;mso-width-relative:page;mso-height-relative:page;" filled="f" stroked="t" coordsize="21600,21600" o:gfxdata="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J/rTX&#10;AAAACQEAAA8AAAAAAAAAAQAgAAAAIgAAAGRycy9kb3ducmV2LnhtbFBLAQIUABQAAAAIAIdO4kAG&#10;OL5k6AEAALwDAAAOAAAAAAAAAAEAIAAAACYBAABkcnMvZTJvRG9jLnhtbFBLBQYAAAAABgAGAFkB&#10;AACABQAAAAA=&#10;">
              <v:fill on="f" focussize="0,0"/>
              <v:stroke color="#BFBFBF [2412]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4563110</wp:posOffset>
              </wp:positionH>
              <wp:positionV relativeFrom="paragraph">
                <wp:posOffset>-10160</wp:posOffset>
              </wp:positionV>
              <wp:extent cx="1529080" cy="269240"/>
              <wp:effectExtent l="0" t="0" r="0" b="0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080" cy="269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359.3pt;margin-top:-0.8pt;height:21.2pt;width:120.4pt;z-index:251664384;v-text-anchor:middle;mso-width-relative:page;mso-height-relative:page;" fillcolor="#BFBFBF [2412]" filled="t" stroked="f" coordsize="21600,21600" o:gfxdata="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SXFdNgAAAAJAQAADwAAAAAAAAABACAAAAAiAAAAZHJzL2Rvd25y&#10;ZXYueG1sUEsBAhQAFAAAAAgAh07iQKK92yZwAgAA1gQAAA4AAAAAAAAAAQAgAAAAJwEAAGRycy9l&#10;Mm9Eb2MueG1sUEsFBgAAAAAGAAYAWQEAAAkG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-705485</wp:posOffset>
              </wp:positionH>
              <wp:positionV relativeFrom="paragraph">
                <wp:posOffset>-180975</wp:posOffset>
              </wp:positionV>
              <wp:extent cx="7534275" cy="749300"/>
              <wp:effectExtent l="0" t="0" r="9525" b="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749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5.55pt;margin-top:-14.25pt;height:59pt;width:593.25pt;z-index:251659264;v-text-anchor:middle;mso-width-relative:page;mso-height-relative:page;" fillcolor="#FFFFFF [3212]" filled="t" stroked="f" coordsize="21600,21600" o:gfxdata="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hs&#10;7g7WAAAADAEAAA8AAAAAAAAAAQAgAAAAIgAAAGRycy9kb3ducmV2LnhtbFBLAQIUABQAAAAIAIdO&#10;4kBvsediXgIAALQEAAAOAAAAAAAAAAEAIAAAACUBAABkcnMvZTJvRG9jLnhtbFBLBQYAAAAABgAG&#10;AFkBAAD1BQ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jc w:val="right"/>
    </w:pPr>
    <w: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4193540</wp:posOffset>
          </wp:positionH>
          <wp:positionV relativeFrom="paragraph">
            <wp:posOffset>156210</wp:posOffset>
          </wp:positionV>
          <wp:extent cx="1911350" cy="172720"/>
          <wp:effectExtent l="0" t="0" r="0" b="0"/>
          <wp:wrapThrough wrapText="bothSides">
            <wp:wrapPolygon>
              <wp:start x="6674" y="0"/>
              <wp:lineTo x="0" y="0"/>
              <wp:lineTo x="0" y="19059"/>
              <wp:lineTo x="6674" y="19059"/>
              <wp:lineTo x="21313" y="19059"/>
              <wp:lineTo x="21313" y="4765"/>
              <wp:lineTo x="21098" y="0"/>
              <wp:lineTo x="6674" y="0"/>
            </wp:wrapPolygon>
          </wp:wrapThrough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79" t="14525" r="3507" b="33183"/>
                  <a:stretch>
                    <a:fillRect/>
                  </a:stretch>
                </pic:blipFill>
                <pic:spPr>
                  <a:xfrm>
                    <a:off x="0" y="0"/>
                    <a:ext cx="1911600" cy="172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-140335</wp:posOffset>
          </wp:positionH>
          <wp:positionV relativeFrom="paragraph">
            <wp:posOffset>-114935</wp:posOffset>
          </wp:positionV>
          <wp:extent cx="1358900" cy="462280"/>
          <wp:effectExtent l="0" t="0" r="0" b="0"/>
          <wp:wrapNone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900" cy="462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-713740</wp:posOffset>
              </wp:positionH>
              <wp:positionV relativeFrom="paragraph">
                <wp:posOffset>-353695</wp:posOffset>
              </wp:positionV>
              <wp:extent cx="7543800" cy="822325"/>
              <wp:effectExtent l="0" t="0" r="635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577" cy="82210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6.2pt;margin-top:-27.85pt;height:64.75pt;width:594pt;z-index:251661312;v-text-anchor:middle;mso-width-relative:page;mso-height-relative:page;" fillcolor="#FFFFFF [3212]" filled="t" stroked="f" coordsize="21600,21600" o:gfxdata="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q&#10;7c6W1wAAAAwBAAAPAAAAAAAAAAEAIAAAACIAAABkcnMvZG93bnJldi54bWxQSwECFAAUAAAACACH&#10;TuJAnYDp3F4CAAC0BAAADgAAAAAAAAABACAAAAAmAQAAZHJzL2Uyb0RvYy54bWxQSwUGAAAAAAYA&#10;BgBZAQAA9g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24130</wp:posOffset>
              </wp:positionH>
              <wp:positionV relativeFrom="paragraph">
                <wp:posOffset>355600</wp:posOffset>
              </wp:positionV>
              <wp:extent cx="6069330" cy="0"/>
              <wp:effectExtent l="0" t="0" r="26670" b="19050"/>
              <wp:wrapNone/>
              <wp:docPr id="33" name="直接连接符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96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9pt;margin-top:28pt;height:0pt;width:477.9pt;mso-position-horizontal-relative:margin;z-index:251663360;mso-width-relative:page;mso-height-relative:page;" filled="f" stroked="t" coordsize="21600,21600" o:gfxdata="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XoL99QA&#10;AAAHAQAADwAAAAAAAAABACAAAAAiAAAAZHJzL2Rvd25yZXYueG1sUEsBAhQAFAAAAAgAh07iQJlq&#10;/NnqAQAAvgMAAA4AAAAAAAAAAQAgAAAAIwEAAGRycy9lMm9Eb2MueG1sUEsFBgAAAAAGAAYAWQEA&#10;AH8FAAAAAA==&#10;">
              <v:fill on="f" focussize="0,0"/>
              <v:stroke color="#7F7F7F [1612]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2A4FAE"/>
    <w:multiLevelType w:val="multilevel"/>
    <w:tmpl w:val="262A4FAE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color w:val="00A19C"/>
        <w:spacing w:val="0"/>
        <w:w w:val="100"/>
        <w:kern w:val="24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4C16E8C"/>
    <w:multiLevelType w:val="multilevel"/>
    <w:tmpl w:val="44C16E8C"/>
    <w:lvl w:ilvl="0" w:tentative="0">
      <w:start w:val="1"/>
      <w:numFmt w:val="bullet"/>
      <w:lvlText w:val=""/>
      <w:lvlJc w:val="left"/>
      <w:pPr>
        <w:ind w:left="284" w:hanging="284"/>
      </w:pPr>
      <w:rPr>
        <w:rFonts w:hint="default" w:ascii="Wingdings" w:hAnsi="Wingdings"/>
        <w:color w:val="00A19C"/>
        <w:spacing w:val="0"/>
        <w:w w:val="100"/>
        <w:kern w:val="24"/>
        <w:sz w:val="2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xOTVkN2ZmMjVjM2EzNTY4MWNhM2I2OGZkMjAyOTMifQ=="/>
  </w:docVars>
  <w:rsids>
    <w:rsidRoot w:val="00CE2175"/>
    <w:rsid w:val="00000872"/>
    <w:rsid w:val="00015094"/>
    <w:rsid w:val="00015452"/>
    <w:rsid w:val="00020788"/>
    <w:rsid w:val="000209EC"/>
    <w:rsid w:val="0002126D"/>
    <w:rsid w:val="000227B4"/>
    <w:rsid w:val="000240EE"/>
    <w:rsid w:val="0002745D"/>
    <w:rsid w:val="00030EAD"/>
    <w:rsid w:val="00046566"/>
    <w:rsid w:val="0005019A"/>
    <w:rsid w:val="00054A3A"/>
    <w:rsid w:val="00060EEF"/>
    <w:rsid w:val="00062B88"/>
    <w:rsid w:val="000644EA"/>
    <w:rsid w:val="00066405"/>
    <w:rsid w:val="000805E0"/>
    <w:rsid w:val="000926B5"/>
    <w:rsid w:val="00095AE7"/>
    <w:rsid w:val="00097B91"/>
    <w:rsid w:val="000A160A"/>
    <w:rsid w:val="000A4C33"/>
    <w:rsid w:val="000A6393"/>
    <w:rsid w:val="000B2C09"/>
    <w:rsid w:val="000B74C0"/>
    <w:rsid w:val="000C17CD"/>
    <w:rsid w:val="000C5C9B"/>
    <w:rsid w:val="000D58CB"/>
    <w:rsid w:val="000D6E0E"/>
    <w:rsid w:val="000E1B1B"/>
    <w:rsid w:val="000E1B3B"/>
    <w:rsid w:val="000E73F4"/>
    <w:rsid w:val="000F10E5"/>
    <w:rsid w:val="000F17A5"/>
    <w:rsid w:val="000F2025"/>
    <w:rsid w:val="000F65DE"/>
    <w:rsid w:val="000F6D79"/>
    <w:rsid w:val="001137C8"/>
    <w:rsid w:val="001317BC"/>
    <w:rsid w:val="00135C1C"/>
    <w:rsid w:val="001364E5"/>
    <w:rsid w:val="001373B4"/>
    <w:rsid w:val="00141DD3"/>
    <w:rsid w:val="00144856"/>
    <w:rsid w:val="00146B16"/>
    <w:rsid w:val="00150E23"/>
    <w:rsid w:val="00154A2E"/>
    <w:rsid w:val="00155E6A"/>
    <w:rsid w:val="00156E40"/>
    <w:rsid w:val="001614E8"/>
    <w:rsid w:val="001642DF"/>
    <w:rsid w:val="00165E36"/>
    <w:rsid w:val="00170690"/>
    <w:rsid w:val="00180759"/>
    <w:rsid w:val="0018122B"/>
    <w:rsid w:val="0018256A"/>
    <w:rsid w:val="001878AA"/>
    <w:rsid w:val="00191DD9"/>
    <w:rsid w:val="00197924"/>
    <w:rsid w:val="001A0B1D"/>
    <w:rsid w:val="001A1B67"/>
    <w:rsid w:val="001A3E81"/>
    <w:rsid w:val="001B12FC"/>
    <w:rsid w:val="001B7AF2"/>
    <w:rsid w:val="001B7D63"/>
    <w:rsid w:val="001C2BF5"/>
    <w:rsid w:val="001C353F"/>
    <w:rsid w:val="001D1749"/>
    <w:rsid w:val="001D56B2"/>
    <w:rsid w:val="001F2763"/>
    <w:rsid w:val="001F6A23"/>
    <w:rsid w:val="00214EEC"/>
    <w:rsid w:val="00220E9F"/>
    <w:rsid w:val="00221958"/>
    <w:rsid w:val="00223BA0"/>
    <w:rsid w:val="00236B49"/>
    <w:rsid w:val="00236E0C"/>
    <w:rsid w:val="00241240"/>
    <w:rsid w:val="00241C91"/>
    <w:rsid w:val="00245B68"/>
    <w:rsid w:val="00252C8A"/>
    <w:rsid w:val="00253A3A"/>
    <w:rsid w:val="00253E95"/>
    <w:rsid w:val="002551CF"/>
    <w:rsid w:val="00265340"/>
    <w:rsid w:val="00265597"/>
    <w:rsid w:val="002673BA"/>
    <w:rsid w:val="00270C5D"/>
    <w:rsid w:val="002817C6"/>
    <w:rsid w:val="00282F20"/>
    <w:rsid w:val="00284AE2"/>
    <w:rsid w:val="00296299"/>
    <w:rsid w:val="002A6A2E"/>
    <w:rsid w:val="002B3AFB"/>
    <w:rsid w:val="002B6B19"/>
    <w:rsid w:val="002C2A0C"/>
    <w:rsid w:val="002C2EEC"/>
    <w:rsid w:val="002C3D49"/>
    <w:rsid w:val="002C673A"/>
    <w:rsid w:val="002E4A69"/>
    <w:rsid w:val="002E4C87"/>
    <w:rsid w:val="002E60BE"/>
    <w:rsid w:val="002E6C2B"/>
    <w:rsid w:val="002F0E69"/>
    <w:rsid w:val="002F494F"/>
    <w:rsid w:val="002F65BA"/>
    <w:rsid w:val="003061B2"/>
    <w:rsid w:val="003123F5"/>
    <w:rsid w:val="00313D6F"/>
    <w:rsid w:val="0031454C"/>
    <w:rsid w:val="003165DE"/>
    <w:rsid w:val="00316DBA"/>
    <w:rsid w:val="00324C19"/>
    <w:rsid w:val="00327BF5"/>
    <w:rsid w:val="0033103F"/>
    <w:rsid w:val="00342108"/>
    <w:rsid w:val="003461B2"/>
    <w:rsid w:val="003470B0"/>
    <w:rsid w:val="0035040E"/>
    <w:rsid w:val="0035260C"/>
    <w:rsid w:val="003542AF"/>
    <w:rsid w:val="0035436E"/>
    <w:rsid w:val="0035783D"/>
    <w:rsid w:val="00360850"/>
    <w:rsid w:val="00361197"/>
    <w:rsid w:val="003638C4"/>
    <w:rsid w:val="003644DA"/>
    <w:rsid w:val="00372148"/>
    <w:rsid w:val="00374939"/>
    <w:rsid w:val="00384AAD"/>
    <w:rsid w:val="00387E99"/>
    <w:rsid w:val="00387ED3"/>
    <w:rsid w:val="00391163"/>
    <w:rsid w:val="003947DB"/>
    <w:rsid w:val="00395BE7"/>
    <w:rsid w:val="003A189D"/>
    <w:rsid w:val="003A27CA"/>
    <w:rsid w:val="003A3786"/>
    <w:rsid w:val="003A622A"/>
    <w:rsid w:val="003A6A47"/>
    <w:rsid w:val="003A741F"/>
    <w:rsid w:val="003A7E76"/>
    <w:rsid w:val="003B39C6"/>
    <w:rsid w:val="003B6FD5"/>
    <w:rsid w:val="003B7D5E"/>
    <w:rsid w:val="003C07A1"/>
    <w:rsid w:val="003C137A"/>
    <w:rsid w:val="003C52C3"/>
    <w:rsid w:val="003C75B9"/>
    <w:rsid w:val="003D1A7F"/>
    <w:rsid w:val="003D431F"/>
    <w:rsid w:val="003D66B4"/>
    <w:rsid w:val="003D6DF2"/>
    <w:rsid w:val="003D6E37"/>
    <w:rsid w:val="003E2661"/>
    <w:rsid w:val="003E2ED1"/>
    <w:rsid w:val="003E2F82"/>
    <w:rsid w:val="003E5A7A"/>
    <w:rsid w:val="003F32CE"/>
    <w:rsid w:val="003F4C4E"/>
    <w:rsid w:val="003F7545"/>
    <w:rsid w:val="0040097F"/>
    <w:rsid w:val="00403993"/>
    <w:rsid w:val="00412B61"/>
    <w:rsid w:val="004131E5"/>
    <w:rsid w:val="00415DC8"/>
    <w:rsid w:val="0041647A"/>
    <w:rsid w:val="00416DBF"/>
    <w:rsid w:val="00416E31"/>
    <w:rsid w:val="00423A1D"/>
    <w:rsid w:val="00430367"/>
    <w:rsid w:val="0043064D"/>
    <w:rsid w:val="004378E5"/>
    <w:rsid w:val="00444EC4"/>
    <w:rsid w:val="00445251"/>
    <w:rsid w:val="00445B33"/>
    <w:rsid w:val="004547CE"/>
    <w:rsid w:val="00457893"/>
    <w:rsid w:val="00463336"/>
    <w:rsid w:val="0046696B"/>
    <w:rsid w:val="00466CEA"/>
    <w:rsid w:val="0046766E"/>
    <w:rsid w:val="00467825"/>
    <w:rsid w:val="00470555"/>
    <w:rsid w:val="00476B4E"/>
    <w:rsid w:val="00486BB7"/>
    <w:rsid w:val="00491FF0"/>
    <w:rsid w:val="004A1263"/>
    <w:rsid w:val="004A5526"/>
    <w:rsid w:val="004A6A07"/>
    <w:rsid w:val="004B1C4F"/>
    <w:rsid w:val="004B4070"/>
    <w:rsid w:val="004B544B"/>
    <w:rsid w:val="004B6ED4"/>
    <w:rsid w:val="004B70E3"/>
    <w:rsid w:val="004B7C1E"/>
    <w:rsid w:val="004B7D6E"/>
    <w:rsid w:val="004C7601"/>
    <w:rsid w:val="004D158F"/>
    <w:rsid w:val="004D36F8"/>
    <w:rsid w:val="004D3B14"/>
    <w:rsid w:val="004D5429"/>
    <w:rsid w:val="004E2CEC"/>
    <w:rsid w:val="004E7C58"/>
    <w:rsid w:val="004F0A68"/>
    <w:rsid w:val="004F278C"/>
    <w:rsid w:val="004F388C"/>
    <w:rsid w:val="004F793D"/>
    <w:rsid w:val="0050088C"/>
    <w:rsid w:val="005018B8"/>
    <w:rsid w:val="00511C04"/>
    <w:rsid w:val="0051220F"/>
    <w:rsid w:val="00513DC1"/>
    <w:rsid w:val="00523E14"/>
    <w:rsid w:val="005244F4"/>
    <w:rsid w:val="005268C8"/>
    <w:rsid w:val="00526C2F"/>
    <w:rsid w:val="005304BB"/>
    <w:rsid w:val="00531473"/>
    <w:rsid w:val="005330BA"/>
    <w:rsid w:val="00533914"/>
    <w:rsid w:val="00536B6D"/>
    <w:rsid w:val="005373C9"/>
    <w:rsid w:val="0054171B"/>
    <w:rsid w:val="00545EF2"/>
    <w:rsid w:val="00547B29"/>
    <w:rsid w:val="005508A7"/>
    <w:rsid w:val="0055304E"/>
    <w:rsid w:val="00553E26"/>
    <w:rsid w:val="005545B3"/>
    <w:rsid w:val="0056271D"/>
    <w:rsid w:val="00563910"/>
    <w:rsid w:val="00573971"/>
    <w:rsid w:val="00575229"/>
    <w:rsid w:val="00577FC7"/>
    <w:rsid w:val="00580D69"/>
    <w:rsid w:val="00580EC5"/>
    <w:rsid w:val="005851DF"/>
    <w:rsid w:val="00587C47"/>
    <w:rsid w:val="005921FB"/>
    <w:rsid w:val="005A04FC"/>
    <w:rsid w:val="005A3A33"/>
    <w:rsid w:val="005A53FA"/>
    <w:rsid w:val="005B2632"/>
    <w:rsid w:val="005B3826"/>
    <w:rsid w:val="005B4379"/>
    <w:rsid w:val="005B6951"/>
    <w:rsid w:val="005C2900"/>
    <w:rsid w:val="005C5C6B"/>
    <w:rsid w:val="005C5E38"/>
    <w:rsid w:val="005C7CD1"/>
    <w:rsid w:val="005D6B32"/>
    <w:rsid w:val="005E21D9"/>
    <w:rsid w:val="005F22C3"/>
    <w:rsid w:val="005F519E"/>
    <w:rsid w:val="005F5297"/>
    <w:rsid w:val="00603FA8"/>
    <w:rsid w:val="0060492E"/>
    <w:rsid w:val="00610235"/>
    <w:rsid w:val="00610957"/>
    <w:rsid w:val="00621FA6"/>
    <w:rsid w:val="0062432A"/>
    <w:rsid w:val="00624E07"/>
    <w:rsid w:val="00626EBA"/>
    <w:rsid w:val="00627421"/>
    <w:rsid w:val="00630BAC"/>
    <w:rsid w:val="00631B35"/>
    <w:rsid w:val="00634A5B"/>
    <w:rsid w:val="00635584"/>
    <w:rsid w:val="00660561"/>
    <w:rsid w:val="00661BF0"/>
    <w:rsid w:val="00670CC4"/>
    <w:rsid w:val="006717E2"/>
    <w:rsid w:val="006727B1"/>
    <w:rsid w:val="00685021"/>
    <w:rsid w:val="00685AF6"/>
    <w:rsid w:val="0069453D"/>
    <w:rsid w:val="00695871"/>
    <w:rsid w:val="006959C1"/>
    <w:rsid w:val="006A3471"/>
    <w:rsid w:val="006A3A2C"/>
    <w:rsid w:val="006A611D"/>
    <w:rsid w:val="006C545B"/>
    <w:rsid w:val="006D05DF"/>
    <w:rsid w:val="006D0F38"/>
    <w:rsid w:val="006D7709"/>
    <w:rsid w:val="006F5718"/>
    <w:rsid w:val="00704D31"/>
    <w:rsid w:val="0070795B"/>
    <w:rsid w:val="007120E3"/>
    <w:rsid w:val="00712ED0"/>
    <w:rsid w:val="00713568"/>
    <w:rsid w:val="00717614"/>
    <w:rsid w:val="00717E3F"/>
    <w:rsid w:val="00727F09"/>
    <w:rsid w:val="00731CFD"/>
    <w:rsid w:val="007462F6"/>
    <w:rsid w:val="0076024F"/>
    <w:rsid w:val="00761105"/>
    <w:rsid w:val="00763BA0"/>
    <w:rsid w:val="00764BFF"/>
    <w:rsid w:val="007664BB"/>
    <w:rsid w:val="00770D4A"/>
    <w:rsid w:val="00771874"/>
    <w:rsid w:val="00775CAF"/>
    <w:rsid w:val="007774B6"/>
    <w:rsid w:val="00783482"/>
    <w:rsid w:val="00787449"/>
    <w:rsid w:val="007A1679"/>
    <w:rsid w:val="007A4099"/>
    <w:rsid w:val="007A53AF"/>
    <w:rsid w:val="007A6718"/>
    <w:rsid w:val="007A6E8B"/>
    <w:rsid w:val="007B1088"/>
    <w:rsid w:val="007C180F"/>
    <w:rsid w:val="007D45CE"/>
    <w:rsid w:val="007D5F43"/>
    <w:rsid w:val="007E2CFD"/>
    <w:rsid w:val="007F00DC"/>
    <w:rsid w:val="008000A3"/>
    <w:rsid w:val="00800C3D"/>
    <w:rsid w:val="008013DE"/>
    <w:rsid w:val="00801FE9"/>
    <w:rsid w:val="00803FFA"/>
    <w:rsid w:val="00815D16"/>
    <w:rsid w:val="008201B5"/>
    <w:rsid w:val="0082217B"/>
    <w:rsid w:val="00822A64"/>
    <w:rsid w:val="00827973"/>
    <w:rsid w:val="008321DE"/>
    <w:rsid w:val="00833CDB"/>
    <w:rsid w:val="00834458"/>
    <w:rsid w:val="0083594E"/>
    <w:rsid w:val="008363FB"/>
    <w:rsid w:val="008373E6"/>
    <w:rsid w:val="00837E5B"/>
    <w:rsid w:val="0084067B"/>
    <w:rsid w:val="00840878"/>
    <w:rsid w:val="00842116"/>
    <w:rsid w:val="0084438B"/>
    <w:rsid w:val="008459CC"/>
    <w:rsid w:val="00845C1C"/>
    <w:rsid w:val="00846401"/>
    <w:rsid w:val="008473A8"/>
    <w:rsid w:val="00852B70"/>
    <w:rsid w:val="00854217"/>
    <w:rsid w:val="0085555E"/>
    <w:rsid w:val="008638AA"/>
    <w:rsid w:val="00865ECA"/>
    <w:rsid w:val="008662FD"/>
    <w:rsid w:val="008664F1"/>
    <w:rsid w:val="00874825"/>
    <w:rsid w:val="0087562D"/>
    <w:rsid w:val="0087704D"/>
    <w:rsid w:val="00882C08"/>
    <w:rsid w:val="00883FD2"/>
    <w:rsid w:val="008845C5"/>
    <w:rsid w:val="00890667"/>
    <w:rsid w:val="00891F1F"/>
    <w:rsid w:val="00893198"/>
    <w:rsid w:val="00894C86"/>
    <w:rsid w:val="00897D4A"/>
    <w:rsid w:val="00897E80"/>
    <w:rsid w:val="008A362F"/>
    <w:rsid w:val="008A7344"/>
    <w:rsid w:val="008B1BEA"/>
    <w:rsid w:val="008B6527"/>
    <w:rsid w:val="008B710E"/>
    <w:rsid w:val="008C1DD8"/>
    <w:rsid w:val="008C504A"/>
    <w:rsid w:val="008D144D"/>
    <w:rsid w:val="008D4DF0"/>
    <w:rsid w:val="008E0760"/>
    <w:rsid w:val="008E50BC"/>
    <w:rsid w:val="008F542F"/>
    <w:rsid w:val="00902A11"/>
    <w:rsid w:val="00903AD8"/>
    <w:rsid w:val="009051F1"/>
    <w:rsid w:val="0090562E"/>
    <w:rsid w:val="0091421C"/>
    <w:rsid w:val="00920F52"/>
    <w:rsid w:val="00924604"/>
    <w:rsid w:val="0092690A"/>
    <w:rsid w:val="0093161A"/>
    <w:rsid w:val="00932C6F"/>
    <w:rsid w:val="009337EB"/>
    <w:rsid w:val="00933CC9"/>
    <w:rsid w:val="009376C1"/>
    <w:rsid w:val="00940F0F"/>
    <w:rsid w:val="00951010"/>
    <w:rsid w:val="009562BA"/>
    <w:rsid w:val="00967351"/>
    <w:rsid w:val="0097758D"/>
    <w:rsid w:val="00980D4C"/>
    <w:rsid w:val="00983455"/>
    <w:rsid w:val="00984393"/>
    <w:rsid w:val="00986F47"/>
    <w:rsid w:val="00990754"/>
    <w:rsid w:val="009A11A0"/>
    <w:rsid w:val="009A3080"/>
    <w:rsid w:val="009A6633"/>
    <w:rsid w:val="009B05EA"/>
    <w:rsid w:val="009B22D2"/>
    <w:rsid w:val="009B62B4"/>
    <w:rsid w:val="009C22F5"/>
    <w:rsid w:val="009C3BFF"/>
    <w:rsid w:val="009F0F1B"/>
    <w:rsid w:val="009F12D0"/>
    <w:rsid w:val="009F1FE9"/>
    <w:rsid w:val="009F3134"/>
    <w:rsid w:val="009F4B37"/>
    <w:rsid w:val="00A01891"/>
    <w:rsid w:val="00A05EBF"/>
    <w:rsid w:val="00A06476"/>
    <w:rsid w:val="00A106E5"/>
    <w:rsid w:val="00A10D83"/>
    <w:rsid w:val="00A11FA7"/>
    <w:rsid w:val="00A12460"/>
    <w:rsid w:val="00A14897"/>
    <w:rsid w:val="00A223AD"/>
    <w:rsid w:val="00A273CF"/>
    <w:rsid w:val="00A3143E"/>
    <w:rsid w:val="00A334BD"/>
    <w:rsid w:val="00A366FC"/>
    <w:rsid w:val="00A43F29"/>
    <w:rsid w:val="00A4611C"/>
    <w:rsid w:val="00A50A1E"/>
    <w:rsid w:val="00A556E6"/>
    <w:rsid w:val="00A621C3"/>
    <w:rsid w:val="00A71AB0"/>
    <w:rsid w:val="00A72688"/>
    <w:rsid w:val="00A762EA"/>
    <w:rsid w:val="00A80F3C"/>
    <w:rsid w:val="00A8159A"/>
    <w:rsid w:val="00A822E2"/>
    <w:rsid w:val="00A86530"/>
    <w:rsid w:val="00A86FB3"/>
    <w:rsid w:val="00A87D47"/>
    <w:rsid w:val="00A91CEE"/>
    <w:rsid w:val="00A92BF5"/>
    <w:rsid w:val="00A96BE8"/>
    <w:rsid w:val="00AA10C1"/>
    <w:rsid w:val="00AB196E"/>
    <w:rsid w:val="00AB5933"/>
    <w:rsid w:val="00AB5A50"/>
    <w:rsid w:val="00AB68B6"/>
    <w:rsid w:val="00AB6A85"/>
    <w:rsid w:val="00AC3B16"/>
    <w:rsid w:val="00AC4173"/>
    <w:rsid w:val="00AC693A"/>
    <w:rsid w:val="00AD3FB0"/>
    <w:rsid w:val="00AD5266"/>
    <w:rsid w:val="00AD778F"/>
    <w:rsid w:val="00AE038F"/>
    <w:rsid w:val="00AE1CFE"/>
    <w:rsid w:val="00AF644B"/>
    <w:rsid w:val="00AF6843"/>
    <w:rsid w:val="00B0035F"/>
    <w:rsid w:val="00B00546"/>
    <w:rsid w:val="00B00619"/>
    <w:rsid w:val="00B0276F"/>
    <w:rsid w:val="00B03B78"/>
    <w:rsid w:val="00B118E0"/>
    <w:rsid w:val="00B128B7"/>
    <w:rsid w:val="00B137BE"/>
    <w:rsid w:val="00B14916"/>
    <w:rsid w:val="00B2078B"/>
    <w:rsid w:val="00B20958"/>
    <w:rsid w:val="00B20D8B"/>
    <w:rsid w:val="00B23141"/>
    <w:rsid w:val="00B233C6"/>
    <w:rsid w:val="00B2757F"/>
    <w:rsid w:val="00B300D8"/>
    <w:rsid w:val="00B315EE"/>
    <w:rsid w:val="00B32F97"/>
    <w:rsid w:val="00B3426D"/>
    <w:rsid w:val="00B350C4"/>
    <w:rsid w:val="00B42D4E"/>
    <w:rsid w:val="00B435AB"/>
    <w:rsid w:val="00B4604F"/>
    <w:rsid w:val="00B4737E"/>
    <w:rsid w:val="00B47D6D"/>
    <w:rsid w:val="00B47F6C"/>
    <w:rsid w:val="00B53AAC"/>
    <w:rsid w:val="00B57D86"/>
    <w:rsid w:val="00B62247"/>
    <w:rsid w:val="00B7266D"/>
    <w:rsid w:val="00B743FE"/>
    <w:rsid w:val="00B81877"/>
    <w:rsid w:val="00B8227D"/>
    <w:rsid w:val="00B829E1"/>
    <w:rsid w:val="00B82C24"/>
    <w:rsid w:val="00B87671"/>
    <w:rsid w:val="00B90496"/>
    <w:rsid w:val="00B92122"/>
    <w:rsid w:val="00B94D44"/>
    <w:rsid w:val="00B978B2"/>
    <w:rsid w:val="00B97938"/>
    <w:rsid w:val="00BA4499"/>
    <w:rsid w:val="00BB60D4"/>
    <w:rsid w:val="00BB610C"/>
    <w:rsid w:val="00BC3CF3"/>
    <w:rsid w:val="00BC5A77"/>
    <w:rsid w:val="00BD2F55"/>
    <w:rsid w:val="00BE2EEA"/>
    <w:rsid w:val="00BE4FB5"/>
    <w:rsid w:val="00BE63FE"/>
    <w:rsid w:val="00BF1F9F"/>
    <w:rsid w:val="00BF289E"/>
    <w:rsid w:val="00BF73AB"/>
    <w:rsid w:val="00C01E02"/>
    <w:rsid w:val="00C04781"/>
    <w:rsid w:val="00C06703"/>
    <w:rsid w:val="00C11DD4"/>
    <w:rsid w:val="00C13D24"/>
    <w:rsid w:val="00C1675D"/>
    <w:rsid w:val="00C17257"/>
    <w:rsid w:val="00C213F4"/>
    <w:rsid w:val="00C23CEB"/>
    <w:rsid w:val="00C24428"/>
    <w:rsid w:val="00C35000"/>
    <w:rsid w:val="00C36D4C"/>
    <w:rsid w:val="00C4009D"/>
    <w:rsid w:val="00C459C5"/>
    <w:rsid w:val="00C60119"/>
    <w:rsid w:val="00C6088A"/>
    <w:rsid w:val="00C60F58"/>
    <w:rsid w:val="00C61027"/>
    <w:rsid w:val="00C61C88"/>
    <w:rsid w:val="00C644FE"/>
    <w:rsid w:val="00C64A35"/>
    <w:rsid w:val="00C71947"/>
    <w:rsid w:val="00C732CF"/>
    <w:rsid w:val="00C80081"/>
    <w:rsid w:val="00C8033D"/>
    <w:rsid w:val="00C8276B"/>
    <w:rsid w:val="00C844ED"/>
    <w:rsid w:val="00C902A9"/>
    <w:rsid w:val="00C93EF3"/>
    <w:rsid w:val="00C9714F"/>
    <w:rsid w:val="00CA0C08"/>
    <w:rsid w:val="00CA5278"/>
    <w:rsid w:val="00CB236F"/>
    <w:rsid w:val="00CB2D97"/>
    <w:rsid w:val="00CC12E1"/>
    <w:rsid w:val="00CC7133"/>
    <w:rsid w:val="00CE2175"/>
    <w:rsid w:val="00CE5598"/>
    <w:rsid w:val="00D03101"/>
    <w:rsid w:val="00D04139"/>
    <w:rsid w:val="00D0519D"/>
    <w:rsid w:val="00D131BF"/>
    <w:rsid w:val="00D1353E"/>
    <w:rsid w:val="00D1443F"/>
    <w:rsid w:val="00D21E06"/>
    <w:rsid w:val="00D25090"/>
    <w:rsid w:val="00D25135"/>
    <w:rsid w:val="00D3173A"/>
    <w:rsid w:val="00D32A96"/>
    <w:rsid w:val="00D33FDE"/>
    <w:rsid w:val="00D3707B"/>
    <w:rsid w:val="00D41D37"/>
    <w:rsid w:val="00D54ED2"/>
    <w:rsid w:val="00D54FF5"/>
    <w:rsid w:val="00D60001"/>
    <w:rsid w:val="00D6203F"/>
    <w:rsid w:val="00D647FE"/>
    <w:rsid w:val="00D66A9B"/>
    <w:rsid w:val="00D71946"/>
    <w:rsid w:val="00D738E3"/>
    <w:rsid w:val="00D753A3"/>
    <w:rsid w:val="00D77235"/>
    <w:rsid w:val="00D80950"/>
    <w:rsid w:val="00D84961"/>
    <w:rsid w:val="00D87856"/>
    <w:rsid w:val="00D920F8"/>
    <w:rsid w:val="00DA4949"/>
    <w:rsid w:val="00DA5CBB"/>
    <w:rsid w:val="00DB4C43"/>
    <w:rsid w:val="00DB653D"/>
    <w:rsid w:val="00DC00DD"/>
    <w:rsid w:val="00DC1781"/>
    <w:rsid w:val="00DC2460"/>
    <w:rsid w:val="00DC69D2"/>
    <w:rsid w:val="00DC72FC"/>
    <w:rsid w:val="00DD05EF"/>
    <w:rsid w:val="00DD0B0A"/>
    <w:rsid w:val="00DD2AE0"/>
    <w:rsid w:val="00DE19B7"/>
    <w:rsid w:val="00DF13CB"/>
    <w:rsid w:val="00DF5900"/>
    <w:rsid w:val="00DF61AB"/>
    <w:rsid w:val="00DF6241"/>
    <w:rsid w:val="00DF7EFE"/>
    <w:rsid w:val="00E0670E"/>
    <w:rsid w:val="00E1143F"/>
    <w:rsid w:val="00E11565"/>
    <w:rsid w:val="00E11AA0"/>
    <w:rsid w:val="00E130B2"/>
    <w:rsid w:val="00E1602D"/>
    <w:rsid w:val="00E30AF2"/>
    <w:rsid w:val="00E3322D"/>
    <w:rsid w:val="00E338D5"/>
    <w:rsid w:val="00E357CD"/>
    <w:rsid w:val="00E45FD7"/>
    <w:rsid w:val="00E528B8"/>
    <w:rsid w:val="00E57914"/>
    <w:rsid w:val="00E60C81"/>
    <w:rsid w:val="00E65CEC"/>
    <w:rsid w:val="00E70EAC"/>
    <w:rsid w:val="00E73067"/>
    <w:rsid w:val="00E737D5"/>
    <w:rsid w:val="00E812A9"/>
    <w:rsid w:val="00E83C9C"/>
    <w:rsid w:val="00E94B8A"/>
    <w:rsid w:val="00EA07D5"/>
    <w:rsid w:val="00EA46FD"/>
    <w:rsid w:val="00EA4AD0"/>
    <w:rsid w:val="00EA57F4"/>
    <w:rsid w:val="00EB1760"/>
    <w:rsid w:val="00EB380C"/>
    <w:rsid w:val="00EB41FD"/>
    <w:rsid w:val="00EB4B95"/>
    <w:rsid w:val="00EB7835"/>
    <w:rsid w:val="00EC0BD0"/>
    <w:rsid w:val="00EC3250"/>
    <w:rsid w:val="00EC3F16"/>
    <w:rsid w:val="00EC4915"/>
    <w:rsid w:val="00ED7C10"/>
    <w:rsid w:val="00EE5EED"/>
    <w:rsid w:val="00EE6150"/>
    <w:rsid w:val="00F00AC1"/>
    <w:rsid w:val="00F10E72"/>
    <w:rsid w:val="00F14992"/>
    <w:rsid w:val="00F168C7"/>
    <w:rsid w:val="00F20ACF"/>
    <w:rsid w:val="00F310B8"/>
    <w:rsid w:val="00F31B64"/>
    <w:rsid w:val="00F325B0"/>
    <w:rsid w:val="00F338A5"/>
    <w:rsid w:val="00F34B49"/>
    <w:rsid w:val="00F35AA7"/>
    <w:rsid w:val="00F401F5"/>
    <w:rsid w:val="00F43B87"/>
    <w:rsid w:val="00F45D5C"/>
    <w:rsid w:val="00F46CF5"/>
    <w:rsid w:val="00F50A3F"/>
    <w:rsid w:val="00F62422"/>
    <w:rsid w:val="00F636CF"/>
    <w:rsid w:val="00F646F7"/>
    <w:rsid w:val="00F677A3"/>
    <w:rsid w:val="00F7486B"/>
    <w:rsid w:val="00F778FA"/>
    <w:rsid w:val="00F838DE"/>
    <w:rsid w:val="00F93FD3"/>
    <w:rsid w:val="00F94130"/>
    <w:rsid w:val="00F9646C"/>
    <w:rsid w:val="00FA0442"/>
    <w:rsid w:val="00FA365D"/>
    <w:rsid w:val="00FA6500"/>
    <w:rsid w:val="00FB77D5"/>
    <w:rsid w:val="00FC4D48"/>
    <w:rsid w:val="00FC5CD9"/>
    <w:rsid w:val="00FD5D20"/>
    <w:rsid w:val="00FD7D2B"/>
    <w:rsid w:val="00FF17F7"/>
    <w:rsid w:val="00FF47F6"/>
    <w:rsid w:val="00FF7C5C"/>
    <w:rsid w:val="436B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500" w:lineRule="exact"/>
      <w:outlineLvl w:val="0"/>
    </w:pPr>
    <w:rPr>
      <w:rFonts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line="360" w:lineRule="auto"/>
      <w:outlineLvl w:val="1"/>
    </w:pPr>
    <w:rPr>
      <w:rFonts w:eastAsia="黑体" w:asciiTheme="majorHAnsi" w:hAnsiTheme="majorHAnsi" w:cstheme="majorBidi"/>
      <w:b/>
      <w:bCs/>
      <w:sz w:val="24"/>
      <w:szCs w:val="32"/>
    </w:rPr>
  </w:style>
  <w:style w:type="paragraph" w:styleId="4">
    <w:name w:val="heading 3"/>
    <w:basedOn w:val="1"/>
    <w:link w:val="20"/>
    <w:autoRedefine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Plain Text"/>
    <w:basedOn w:val="1"/>
    <w:link w:val="32"/>
    <w:autoRedefine/>
    <w:semiHidden/>
    <w:unhideWhenUsed/>
    <w:uiPriority w:val="0"/>
    <w:rPr>
      <w:rFonts w:ascii="宋体" w:hAnsi="Courier New"/>
      <w:szCs w:val="20"/>
    </w:rPr>
  </w:style>
  <w:style w:type="paragraph" w:styleId="7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next w:val="1"/>
    <w:link w:val="22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9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18">
    <w:name w:val="批注框文本 字符"/>
    <w:basedOn w:val="13"/>
    <w:link w:val="7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0">
    <w:name w:val="标题 3 字符"/>
    <w:basedOn w:val="13"/>
    <w:link w:val="4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21">
    <w:name w:val="标题 2 字符"/>
    <w:basedOn w:val="13"/>
    <w:link w:val="3"/>
    <w:autoRedefine/>
    <w:qFormat/>
    <w:uiPriority w:val="9"/>
    <w:rPr>
      <w:rFonts w:eastAsia="黑体" w:asciiTheme="majorHAnsi" w:hAnsiTheme="majorHAnsi" w:cstheme="majorBidi"/>
      <w:b/>
      <w:bCs/>
      <w:sz w:val="24"/>
      <w:szCs w:val="32"/>
    </w:rPr>
  </w:style>
  <w:style w:type="character" w:customStyle="1" w:styleId="22">
    <w:name w:val="标题 字符"/>
    <w:basedOn w:val="13"/>
    <w:link w:val="10"/>
    <w:autoRedefine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标题 1 字符"/>
    <w:basedOn w:val="13"/>
    <w:link w:val="2"/>
    <w:qFormat/>
    <w:uiPriority w:val="9"/>
    <w:rPr>
      <w:rFonts w:ascii="Calibri" w:hAnsi="Calibri" w:eastAsia="黑体" w:cs="Times New Roman"/>
      <w:b/>
      <w:bCs/>
      <w:kern w:val="44"/>
      <w:sz w:val="28"/>
      <w:szCs w:val="44"/>
    </w:rPr>
  </w:style>
  <w:style w:type="paragraph" w:customStyle="1" w:styleId="25">
    <w:name w:val="_Style 21"/>
    <w:basedOn w:val="1"/>
    <w:next w:val="19"/>
    <w:autoRedefine/>
    <w:qFormat/>
    <w:uiPriority w:val="34"/>
    <w:pPr>
      <w:ind w:firstLine="420" w:firstLineChars="200"/>
    </w:pPr>
    <w:rPr>
      <w:szCs w:val="24"/>
    </w:rPr>
  </w:style>
  <w:style w:type="paragraph" w:customStyle="1" w:styleId="26">
    <w:name w:val="_Style 22"/>
    <w:basedOn w:val="1"/>
    <w:next w:val="19"/>
    <w:autoRedefine/>
    <w:qFormat/>
    <w:uiPriority w:val="34"/>
    <w:pPr>
      <w:ind w:firstLine="420" w:firstLineChars="200"/>
    </w:pPr>
    <w:rPr>
      <w:szCs w:val="24"/>
    </w:rPr>
  </w:style>
  <w:style w:type="paragraph" w:customStyle="1" w:styleId="27">
    <w:name w:val="纯文本2"/>
    <w:basedOn w:val="1"/>
    <w:qFormat/>
    <w:uiPriority w:val="0"/>
    <w:rPr>
      <w:rFonts w:ascii="宋体" w:hAnsi="Courier New"/>
      <w:szCs w:val="20"/>
    </w:rPr>
  </w:style>
  <w:style w:type="table" w:customStyle="1" w:styleId="28">
    <w:name w:val="Grid Table Light"/>
    <w:basedOn w:val="11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29">
    <w:name w:val="_Style 25"/>
    <w:basedOn w:val="1"/>
    <w:next w:val="19"/>
    <w:qFormat/>
    <w:uiPriority w:val="34"/>
    <w:pPr>
      <w:ind w:firstLine="420" w:firstLineChars="200"/>
    </w:pPr>
    <w:rPr>
      <w:szCs w:val="24"/>
    </w:rPr>
  </w:style>
  <w:style w:type="character" w:customStyle="1" w:styleId="30">
    <w:name w:val="纯文本 字符"/>
    <w:basedOn w:val="13"/>
    <w:semiHidden/>
    <w:qFormat/>
    <w:uiPriority w:val="99"/>
    <w:rPr>
      <w:rFonts w:hAnsi="Courier New" w:cs="Courier New" w:asciiTheme="minorEastAsia"/>
    </w:rPr>
  </w:style>
  <w:style w:type="paragraph" w:customStyle="1" w:styleId="31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2">
    <w:name w:val="纯文本 字符1"/>
    <w:link w:val="6"/>
    <w:autoRedefine/>
    <w:semiHidden/>
    <w:qFormat/>
    <w:locked/>
    <w:uiPriority w:val="0"/>
    <w:rPr>
      <w:rFonts w:ascii="宋体" w:hAnsi="Courier New" w:eastAsia="宋体" w:cs="Times New Roman"/>
      <w:szCs w:val="20"/>
    </w:rPr>
  </w:style>
  <w:style w:type="character" w:customStyle="1" w:styleId="33">
    <w:name w:val="high-light-bg4"/>
    <w:basedOn w:val="13"/>
    <w:autoRedefine/>
    <w:qFormat/>
    <w:uiPriority w:val="0"/>
  </w:style>
  <w:style w:type="table" w:customStyle="1" w:styleId="34">
    <w:name w:val="网格型1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5">
    <w:name w:val="No Spacing"/>
    <w:link w:val="36"/>
    <w:autoRedefine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6">
    <w:name w:val="无间隔 字符"/>
    <w:basedOn w:val="13"/>
    <w:link w:val="35"/>
    <w:autoRedefine/>
    <w:qFormat/>
    <w:uiPriority w:val="1"/>
    <w:rPr>
      <w:kern w:val="0"/>
      <w:sz w:val="22"/>
    </w:rPr>
  </w:style>
  <w:style w:type="character" w:customStyle="1" w:styleId="3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styleId="38">
    <w:name w:val="Placeholder Text"/>
    <w:basedOn w:val="13"/>
    <w:autoRedefine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8663A8-D7D8-4305-A45F-A09B0505DE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689</Words>
  <Characters>3931</Characters>
  <Lines>32</Lines>
  <Paragraphs>9</Paragraphs>
  <TotalTime>5</TotalTime>
  <ScaleCrop>false</ScaleCrop>
  <LinksUpToDate>false</LinksUpToDate>
  <CharactersWithSpaces>4611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2022-12-20T10:29:00Z</dcterms:created>
  <dc:creator>Administrator</dc:creator>
  <cp:lastModifiedBy>长沙天恒测控刘加冲</cp:lastModifiedBy>
  <cp:lastPrinted>2021-08-27T11:25:00Z</cp:lastPrinted>
  <dcterms:modified xsi:type="dcterms:W3CDTF">2024-10-12T06:12:30Z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7585D356ECE24A95AAF14333A3F384FE_12</vt:lpwstr>
  </property>
</Properties>
</file>